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8A97" w14:textId="77777777" w:rsidR="00DA6146" w:rsidRDefault="00DA6146" w:rsidP="00AC50A2">
      <w:pPr>
        <w:spacing w:line="480" w:lineRule="auto"/>
        <w:jc w:val="center"/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</w:pPr>
      <w:r w:rsidRPr="00DA6146"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Visitas oficiales de alto nivel por países y región</w:t>
      </w:r>
    </w:p>
    <w:p w14:paraId="47048C6F" w14:textId="77777777" w:rsidR="00130C56" w:rsidRDefault="00130C56" w:rsidP="00AC50A2">
      <w:pPr>
        <w:spacing w:line="480" w:lineRule="auto"/>
        <w:jc w:val="center"/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</w:pPr>
      <w:r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  <w:t>2019</w:t>
      </w:r>
    </w:p>
    <w:p w14:paraId="69413C5B" w14:textId="6AADA259" w:rsidR="002F723F" w:rsidRPr="00AC50A2" w:rsidRDefault="002B4C25" w:rsidP="00AC50A2">
      <w:pPr>
        <w:spacing w:line="480" w:lineRule="auto"/>
        <w:jc w:val="center"/>
        <w:rPr>
          <w:rFonts w:ascii="Helvetica Neue" w:eastAsia="Times New Roman" w:hAnsi="Helvetica Neue" w:cs="Times New Roman"/>
          <w:b/>
          <w:bCs/>
          <w:color w:val="2E74B5" w:themeColor="accent5" w:themeShade="BF"/>
          <w:sz w:val="23"/>
          <w:szCs w:val="23"/>
          <w:u w:val="single"/>
          <w:shd w:val="clear" w:color="auto" w:fill="FFFFFF"/>
          <w:lang w:val="es-PE" w:eastAsia="es-ES_tradnl"/>
        </w:rPr>
      </w:pPr>
      <w:r w:rsidRPr="00085E84">
        <w:rPr>
          <w:rFonts w:ascii="Helvetica Neue" w:eastAsia="Times New Roman" w:hAnsi="Helvetica Neue" w:cs="Times New Roman"/>
          <w:b/>
          <w:bCs/>
          <w:noProof/>
          <w:color w:val="000000"/>
          <w:sz w:val="23"/>
          <w:szCs w:val="23"/>
          <w:shd w:val="clear" w:color="auto" w:fill="FFFFFF"/>
          <w:lang w:val="es-PE" w:eastAsia="es-ES_tradnl"/>
        </w:rPr>
        <w:drawing>
          <wp:anchor distT="0" distB="0" distL="114300" distR="114300" simplePos="0" relativeHeight="251658240" behindDoc="0" locked="0" layoutInCell="1" allowOverlap="1" wp14:anchorId="16872D36" wp14:editId="693BD5F4">
            <wp:simplePos x="0" y="0"/>
            <wp:positionH relativeFrom="column">
              <wp:posOffset>-176530</wp:posOffset>
            </wp:positionH>
            <wp:positionV relativeFrom="paragraph">
              <wp:posOffset>178435</wp:posOffset>
            </wp:positionV>
            <wp:extent cx="5741035" cy="36576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266D" w14:textId="31A72271" w:rsidR="00DA6146" w:rsidRPr="00F91531" w:rsidRDefault="00B650CE" w:rsidP="00AC50A2">
      <w:p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s-PE" w:eastAsia="es-ES_tradnl"/>
        </w:rPr>
      </w:pPr>
      <w:r w:rsidRPr="0087563B">
        <w:rPr>
          <w:rFonts w:ascii="Helvetica Neue" w:eastAsia="Times New Roman" w:hAnsi="Helvetica Neue" w:cs="Times New Roman"/>
          <w:color w:val="000000"/>
          <w:sz w:val="18"/>
          <w:szCs w:val="18"/>
          <w:u w:val="single"/>
          <w:shd w:val="clear" w:color="auto" w:fill="FFFFFF"/>
          <w:lang w:val="es-PE" w:eastAsia="es-ES_tradnl"/>
        </w:rPr>
        <w:t>Fuente</w:t>
      </w:r>
      <w:r w:rsidRPr="0087563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s-PE" w:eastAsia="es-ES_tradnl"/>
        </w:rPr>
        <w:t>: ILADIR - Aranthza</w:t>
      </w:r>
    </w:p>
    <w:p w14:paraId="1AFDD2A8" w14:textId="3AFA89FD" w:rsidR="00993C28" w:rsidRDefault="000E5C89" w:rsidP="00AC50A2">
      <w:pPr>
        <w:spacing w:line="480" w:lineRule="auto"/>
        <w:rPr>
          <w:lang w:val="es-PE"/>
        </w:rPr>
      </w:pPr>
      <w:r>
        <w:rPr>
          <w:noProof/>
        </w:rPr>
        <w:drawing>
          <wp:inline distT="0" distB="0" distL="0" distR="0" wp14:anchorId="214DB2AE" wp14:editId="23905F99">
            <wp:extent cx="5396230" cy="3200400"/>
            <wp:effectExtent l="0" t="0" r="127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A428E7A-74B3-4FF4-90D8-862DDDE11C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80DE43" w14:textId="77777777" w:rsidR="000E5C89" w:rsidRPr="00F91531" w:rsidRDefault="000E5C89" w:rsidP="000E5C89">
      <w:p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s-PE" w:eastAsia="es-ES_tradnl"/>
        </w:rPr>
      </w:pPr>
      <w:r w:rsidRPr="0087563B">
        <w:rPr>
          <w:rFonts w:ascii="Helvetica Neue" w:eastAsia="Times New Roman" w:hAnsi="Helvetica Neue" w:cs="Times New Roman"/>
          <w:color w:val="000000"/>
          <w:sz w:val="18"/>
          <w:szCs w:val="18"/>
          <w:u w:val="single"/>
          <w:shd w:val="clear" w:color="auto" w:fill="FFFFFF"/>
          <w:lang w:val="es-PE" w:eastAsia="es-ES_tradnl"/>
        </w:rPr>
        <w:t>Fuente</w:t>
      </w:r>
      <w:r w:rsidRPr="0087563B">
        <w:rPr>
          <w:rFonts w:ascii="Helvetica Neue" w:eastAsia="Times New Roman" w:hAnsi="Helvetica Neue" w:cs="Times New Roman"/>
          <w:color w:val="000000"/>
          <w:sz w:val="18"/>
          <w:szCs w:val="18"/>
          <w:shd w:val="clear" w:color="auto" w:fill="FFFFFF"/>
          <w:lang w:val="es-PE" w:eastAsia="es-ES_tradnl"/>
        </w:rPr>
        <w:t>: ILADIR - Aranthza</w:t>
      </w:r>
    </w:p>
    <w:p w14:paraId="388C896D" w14:textId="77777777" w:rsidR="000E5C89" w:rsidRPr="00DA6146" w:rsidRDefault="000E5C89" w:rsidP="00AC50A2">
      <w:pPr>
        <w:spacing w:line="480" w:lineRule="auto"/>
        <w:rPr>
          <w:lang w:val="es-PE"/>
        </w:rPr>
      </w:pPr>
    </w:p>
    <w:sectPr w:rsidR="000E5C89" w:rsidRPr="00DA6146" w:rsidSect="00853D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560E" w14:textId="77777777" w:rsidR="0037270B" w:rsidRDefault="0037270B" w:rsidP="00984B79">
      <w:r>
        <w:separator/>
      </w:r>
    </w:p>
  </w:endnote>
  <w:endnote w:type="continuationSeparator" w:id="0">
    <w:p w14:paraId="0DCCC5C6" w14:textId="77777777" w:rsidR="0037270B" w:rsidRDefault="0037270B" w:rsidP="0098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5A98" w14:textId="77777777" w:rsidR="0037270B" w:rsidRDefault="0037270B" w:rsidP="00984B79">
      <w:r>
        <w:separator/>
      </w:r>
    </w:p>
  </w:footnote>
  <w:footnote w:type="continuationSeparator" w:id="0">
    <w:p w14:paraId="66CC2554" w14:textId="77777777" w:rsidR="0037270B" w:rsidRDefault="0037270B" w:rsidP="0098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6"/>
    <w:rsid w:val="00017FCA"/>
    <w:rsid w:val="00076969"/>
    <w:rsid w:val="00077E52"/>
    <w:rsid w:val="00085E84"/>
    <w:rsid w:val="000A4970"/>
    <w:rsid w:val="000A573F"/>
    <w:rsid w:val="000E5C89"/>
    <w:rsid w:val="000F5447"/>
    <w:rsid w:val="00130C56"/>
    <w:rsid w:val="001442FB"/>
    <w:rsid w:val="00176E17"/>
    <w:rsid w:val="001A6B79"/>
    <w:rsid w:val="001B6330"/>
    <w:rsid w:val="00203222"/>
    <w:rsid w:val="00244BCA"/>
    <w:rsid w:val="002510B6"/>
    <w:rsid w:val="00255C59"/>
    <w:rsid w:val="002614FC"/>
    <w:rsid w:val="00267F77"/>
    <w:rsid w:val="00284332"/>
    <w:rsid w:val="002B4C25"/>
    <w:rsid w:val="002D304C"/>
    <w:rsid w:val="002D3F9A"/>
    <w:rsid w:val="002E249F"/>
    <w:rsid w:val="002F6E40"/>
    <w:rsid w:val="002F723F"/>
    <w:rsid w:val="00330CD1"/>
    <w:rsid w:val="0037270B"/>
    <w:rsid w:val="003A7267"/>
    <w:rsid w:val="003B3D03"/>
    <w:rsid w:val="003E5149"/>
    <w:rsid w:val="003E7D6B"/>
    <w:rsid w:val="0044148A"/>
    <w:rsid w:val="00453BED"/>
    <w:rsid w:val="00520B16"/>
    <w:rsid w:val="005E61F8"/>
    <w:rsid w:val="00617D23"/>
    <w:rsid w:val="00623F49"/>
    <w:rsid w:val="00661BF3"/>
    <w:rsid w:val="006A667E"/>
    <w:rsid w:val="006C51C7"/>
    <w:rsid w:val="006E4DAA"/>
    <w:rsid w:val="006F53AC"/>
    <w:rsid w:val="0071695B"/>
    <w:rsid w:val="00752E14"/>
    <w:rsid w:val="00763AD8"/>
    <w:rsid w:val="007F1EA2"/>
    <w:rsid w:val="008117B2"/>
    <w:rsid w:val="0081249B"/>
    <w:rsid w:val="00853DDF"/>
    <w:rsid w:val="0087563B"/>
    <w:rsid w:val="008A7614"/>
    <w:rsid w:val="008F037C"/>
    <w:rsid w:val="00925748"/>
    <w:rsid w:val="00984B79"/>
    <w:rsid w:val="00A14ADA"/>
    <w:rsid w:val="00A4175C"/>
    <w:rsid w:val="00A45F76"/>
    <w:rsid w:val="00A7210B"/>
    <w:rsid w:val="00A97351"/>
    <w:rsid w:val="00AA2685"/>
    <w:rsid w:val="00AC50A2"/>
    <w:rsid w:val="00B4508A"/>
    <w:rsid w:val="00B650CE"/>
    <w:rsid w:val="00B9651A"/>
    <w:rsid w:val="00BA1BBE"/>
    <w:rsid w:val="00BD5436"/>
    <w:rsid w:val="00C60C9C"/>
    <w:rsid w:val="00C76E31"/>
    <w:rsid w:val="00CB1635"/>
    <w:rsid w:val="00D15431"/>
    <w:rsid w:val="00D23E2D"/>
    <w:rsid w:val="00D32C4D"/>
    <w:rsid w:val="00D3727A"/>
    <w:rsid w:val="00D53B1E"/>
    <w:rsid w:val="00D62B38"/>
    <w:rsid w:val="00DA6146"/>
    <w:rsid w:val="00DB1CC8"/>
    <w:rsid w:val="00DB62DE"/>
    <w:rsid w:val="00DC3DE8"/>
    <w:rsid w:val="00DD39E6"/>
    <w:rsid w:val="00E14F28"/>
    <w:rsid w:val="00E248BC"/>
    <w:rsid w:val="00E4080F"/>
    <w:rsid w:val="00F27729"/>
    <w:rsid w:val="00F6422F"/>
    <w:rsid w:val="00F91531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8E3E0"/>
  <w15:chartTrackingRefBased/>
  <w15:docId w15:val="{A7256404-F8D9-C94F-8903-DF737BC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2F7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84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B7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84B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B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ranthza/Downloads/Compendio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PE"/>
              <a:t>Visitas oficiales de alto nivel por países y región - 2019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Hoja1!$D$1</c:f>
              <c:strCache>
                <c:ptCount val="1"/>
                <c:pt idx="0">
                  <c:v>Total de visitas por país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108-0740-AFEC-E4FBA1C6062D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108-0740-AFEC-E4FBA1C6062D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108-0740-AFEC-E4FBA1C6062D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08-0740-AFEC-E4FBA1C6062D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1108-0740-AFEC-E4FBA1C6062D}"/>
              </c:ext>
            </c:extLst>
          </c:dPt>
          <c:dPt>
            <c:idx val="11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1108-0740-AFEC-E4FBA1C6062D}"/>
              </c:ext>
            </c:extLst>
          </c:dPt>
          <c:dPt>
            <c:idx val="12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1108-0740-AFEC-E4FBA1C6062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1108-0740-AFEC-E4FBA1C6062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1108-0740-AFEC-E4FBA1C6062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1108-0740-AFEC-E4FBA1C6062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19%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108-0740-AFEC-E4FBA1C6062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108-0740-AFEC-E4FBA1C6062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108-0740-AFEC-E4FBA1C6062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108-0740-AFEC-E4FBA1C6062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19%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108-0740-AFEC-E4FBA1C6062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4.8%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1108-0740-AFEC-E4FBA1C6062D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9.5%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108-0740-AFEC-E4FBA1C6062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108-0740-AFEC-E4FBA1C6062D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 baseline="0"/>
                      <a:t>4.8%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108-0740-AFEC-E4FBA1C6062D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 baseline="0"/>
                      <a:t>9.5%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108-0740-AFEC-E4FBA1C606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Hoja1!$A$2:$C$14</c:f>
              <c:multiLvlStrCache>
                <c:ptCount val="13"/>
                <c:lvl>
                  <c:pt idx="0">
                    <c:v>Argentina</c:v>
                  </c:pt>
                  <c:pt idx="1">
                    <c:v>Brasil</c:v>
                  </c:pt>
                  <c:pt idx="2">
                    <c:v>Chile</c:v>
                  </c:pt>
                  <c:pt idx="3">
                    <c:v>Colombia</c:v>
                  </c:pt>
                  <c:pt idx="4">
                    <c:v>El Salvador</c:v>
                  </c:pt>
                  <c:pt idx="5">
                    <c:v>Guatemala</c:v>
                  </c:pt>
                  <c:pt idx="6">
                    <c:v>Canadá</c:v>
                  </c:pt>
                  <c:pt idx="7">
                    <c:v>Estados Unidos</c:v>
                  </c:pt>
                  <c:pt idx="8">
                    <c:v>México</c:v>
                  </c:pt>
                  <c:pt idx="9">
                    <c:v>España</c:v>
                  </c:pt>
                  <c:pt idx="10">
                    <c:v>Francia</c:v>
                  </c:pt>
                  <c:pt idx="11">
                    <c:v>Portugal</c:v>
                  </c:pt>
                  <c:pt idx="12">
                    <c:v>China</c:v>
                  </c:pt>
                </c:lvl>
                <c:lvl>
                  <c:pt idx="0">
                    <c:v>América Latina y el Caribe</c:v>
                  </c:pt>
                  <c:pt idx="6">
                    <c:v>Norteamérica </c:v>
                  </c:pt>
                  <c:pt idx="9">
                    <c:v>Europa</c:v>
                  </c:pt>
                  <c:pt idx="12">
                    <c:v>Asia</c:v>
                  </c:pt>
                </c:lvl>
              </c:multiLvlStrCache>
            </c:multiLvlStrRef>
          </c:cat>
          <c:val>
            <c:numRef>
              <c:f>Hoja1!$D$2:$D$14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8-0740-AFEC-E4FBA1C6062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-24"/>
        <c:axId val="133195487"/>
        <c:axId val="133197135"/>
      </c:barChart>
      <c:catAx>
        <c:axId val="133195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3197135"/>
        <c:crosses val="autoZero"/>
        <c:auto val="1"/>
        <c:lblAlgn val="ctr"/>
        <c:lblOffset val="100"/>
        <c:noMultiLvlLbl val="0"/>
      </c:catAx>
      <c:valAx>
        <c:axId val="133197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33195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_tradnl"/>
              <a:t>Visitas</a:t>
            </a:r>
            <a:r>
              <a:rPr lang="es-ES_tradnl" baseline="0"/>
              <a:t> oficiales de alto nivel por países y región en función al cargo - 2019</a:t>
            </a:r>
            <a:endParaRPr lang="es-ES_trad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P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Sheet5!$C$4</c:f>
              <c:strCache>
                <c:ptCount val="1"/>
                <c:pt idx="0">
                  <c:v>Ministro de Relaciones Exteriores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multiLvlStrRef>
              <c:f>Sheet5!$A$5:$B$17</c:f>
              <c:multiLvlStrCache>
                <c:ptCount val="13"/>
                <c:lvl>
                  <c:pt idx="0">
                    <c:v>Argentina</c:v>
                  </c:pt>
                  <c:pt idx="1">
                    <c:v>Brasil</c:v>
                  </c:pt>
                  <c:pt idx="2">
                    <c:v>Chile</c:v>
                  </c:pt>
                  <c:pt idx="3">
                    <c:v>Colombia</c:v>
                  </c:pt>
                  <c:pt idx="4">
                    <c:v>El Salvador</c:v>
                  </c:pt>
                  <c:pt idx="5">
                    <c:v>Guatemala</c:v>
                  </c:pt>
                  <c:pt idx="6">
                    <c:v>Canadá</c:v>
                  </c:pt>
                  <c:pt idx="7">
                    <c:v>Estados Unidos</c:v>
                  </c:pt>
                  <c:pt idx="8">
                    <c:v>México</c:v>
                  </c:pt>
                  <c:pt idx="9">
                    <c:v>España</c:v>
                  </c:pt>
                  <c:pt idx="10">
                    <c:v>Francia</c:v>
                  </c:pt>
                  <c:pt idx="11">
                    <c:v>Portugal</c:v>
                  </c:pt>
                  <c:pt idx="12">
                    <c:v>China</c:v>
                  </c:pt>
                </c:lvl>
                <c:lvl>
                  <c:pt idx="0">
                    <c:v>America Latina y El Caribe</c:v>
                  </c:pt>
                  <c:pt idx="6">
                    <c:v>Norteamerica</c:v>
                  </c:pt>
                  <c:pt idx="9">
                    <c:v>Europa</c:v>
                  </c:pt>
                  <c:pt idx="12">
                    <c:v>Asia</c:v>
                  </c:pt>
                </c:lvl>
              </c:multiLvlStrCache>
            </c:multiLvlStrRef>
          </c:cat>
          <c:val>
            <c:numRef>
              <c:f>Sheet5!$C$5:$C$17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F-0F42-86F8-4326FB54BD6F}"/>
            </c:ext>
          </c:extLst>
        </c:ser>
        <c:ser>
          <c:idx val="1"/>
          <c:order val="1"/>
          <c:tx>
            <c:strRef>
              <c:f>Sheet5!$D$4</c:f>
              <c:strCache>
                <c:ptCount val="1"/>
                <c:pt idx="0">
                  <c:v>Presidente de la República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multiLvlStrRef>
              <c:f>Sheet5!$A$5:$B$17</c:f>
              <c:multiLvlStrCache>
                <c:ptCount val="13"/>
                <c:lvl>
                  <c:pt idx="0">
                    <c:v>Argentina</c:v>
                  </c:pt>
                  <c:pt idx="1">
                    <c:v>Brasil</c:v>
                  </c:pt>
                  <c:pt idx="2">
                    <c:v>Chile</c:v>
                  </c:pt>
                  <c:pt idx="3">
                    <c:v>Colombia</c:v>
                  </c:pt>
                  <c:pt idx="4">
                    <c:v>El Salvador</c:v>
                  </c:pt>
                  <c:pt idx="5">
                    <c:v>Guatemala</c:v>
                  </c:pt>
                  <c:pt idx="6">
                    <c:v>Canadá</c:v>
                  </c:pt>
                  <c:pt idx="7">
                    <c:v>Estados Unidos</c:v>
                  </c:pt>
                  <c:pt idx="8">
                    <c:v>México</c:v>
                  </c:pt>
                  <c:pt idx="9">
                    <c:v>España</c:v>
                  </c:pt>
                  <c:pt idx="10">
                    <c:v>Francia</c:v>
                  </c:pt>
                  <c:pt idx="11">
                    <c:v>Portugal</c:v>
                  </c:pt>
                  <c:pt idx="12">
                    <c:v>China</c:v>
                  </c:pt>
                </c:lvl>
                <c:lvl>
                  <c:pt idx="0">
                    <c:v>America Latina y El Caribe</c:v>
                  </c:pt>
                  <c:pt idx="6">
                    <c:v>Norteamerica</c:v>
                  </c:pt>
                  <c:pt idx="9">
                    <c:v>Europa</c:v>
                  </c:pt>
                  <c:pt idx="12">
                    <c:v>Asia</c:v>
                  </c:pt>
                </c:lvl>
              </c:multiLvlStrCache>
            </c:multiLvlStrRef>
          </c:cat>
          <c:val>
            <c:numRef>
              <c:f>Sheet5!$D$5:$D$17</c:f>
              <c:numCache>
                <c:formatCode>General</c:formatCode>
                <c:ptCount val="13"/>
                <c:pt idx="3">
                  <c:v>1</c:v>
                </c:pt>
                <c:pt idx="9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F-0F42-86F8-4326FB54BD6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-24"/>
        <c:axId val="1272000383"/>
        <c:axId val="1272000799"/>
      </c:barChart>
      <c:catAx>
        <c:axId val="127200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272000799"/>
        <c:crosses val="autoZero"/>
        <c:auto val="1"/>
        <c:lblAlgn val="ctr"/>
        <c:lblOffset val="100"/>
        <c:noMultiLvlLbl val="0"/>
      </c:catAx>
      <c:valAx>
        <c:axId val="1272000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127200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SOFFIA ARANTHZA MILAGROS MARCHAN CANDIOTTI</dc:creator>
  <cp:keywords/>
  <dc:description/>
  <cp:lastModifiedBy>SOFFIA ARANTHZA MILAGROS MARCHAN CANDIOTTI</cp:lastModifiedBy>
  <cp:revision>65</cp:revision>
  <dcterms:created xsi:type="dcterms:W3CDTF">2020-12-04T22:22:00Z</dcterms:created>
  <dcterms:modified xsi:type="dcterms:W3CDTF">2021-08-12T05:00:00Z</dcterms:modified>
</cp:coreProperties>
</file>