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F667" w14:textId="39D62FA6" w:rsidR="00D43F78" w:rsidRDefault="00884EBE" w:rsidP="00884EBE">
      <w:pPr>
        <w:rPr>
          <w:lang w:val="es-PE"/>
        </w:rPr>
      </w:pPr>
      <w:r>
        <w:rPr>
          <w:noProof/>
        </w:rPr>
        <mc:AlternateContent>
          <mc:Choice Requires="cx1">
            <w:drawing>
              <wp:inline distT="0" distB="0" distL="0" distR="0" wp14:anchorId="637061E8" wp14:editId="41F427F7">
                <wp:extent cx="9037320" cy="5816009"/>
                <wp:effectExtent l="0" t="0" r="5080" b="635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B9EE0F-02EB-754E-B49B-DF662CA2A7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637061E8" wp14:editId="41F427F7">
                <wp:extent cx="9037320" cy="5816009"/>
                <wp:effectExtent l="0" t="0" r="5080" b="635"/>
                <wp:docPr id="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B9EE0F-02EB-754E-B49B-DF662CA2A7F9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>
                          <a:extLst>
                            <a:ext uri="{FF2B5EF4-FFF2-40B4-BE49-F238E27FC236}">
                              <a16:creationId xmlns:a16="http://schemas.microsoft.com/office/drawing/2014/main" id="{FDB9EE0F-02EB-754E-B49B-DF662CA2A7F9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7320" cy="581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8EECF8A" w14:textId="2C9CD1FA" w:rsidR="00884EBE" w:rsidRPr="0051142B" w:rsidRDefault="00884EBE" w:rsidP="00884EBE">
      <w:pPr>
        <w:rPr>
          <w:lang w:val="es-PE"/>
        </w:rPr>
      </w:pPr>
      <w:r>
        <w:rPr>
          <w:noProof/>
          <w:lang w:val="es-PE"/>
        </w:rPr>
        <w:lastRenderedPageBreak/>
        <w:drawing>
          <wp:inline distT="0" distB="0" distL="0" distR="0" wp14:anchorId="17302C6E" wp14:editId="2E252BD0">
            <wp:extent cx="8846289" cy="5826347"/>
            <wp:effectExtent l="0" t="0" r="1841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84EBE" w:rsidRPr="0051142B" w:rsidSect="00BE23A3">
      <w:foot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31EB" w14:textId="77777777" w:rsidR="006E2412" w:rsidRDefault="006E2412" w:rsidP="0051142B">
      <w:r>
        <w:separator/>
      </w:r>
    </w:p>
  </w:endnote>
  <w:endnote w:type="continuationSeparator" w:id="0">
    <w:p w14:paraId="03A0FD3E" w14:textId="77777777" w:rsidR="006E2412" w:rsidRDefault="006E2412" w:rsidP="0051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C500" w14:textId="2E7813EB" w:rsidR="00592BD8" w:rsidRDefault="0051142B">
    <w:pPr>
      <w:pStyle w:val="Piedepgina"/>
    </w:pPr>
    <w:r>
      <w:t>Fuente: ILADIR</w:t>
    </w:r>
    <w:r w:rsidR="00592BD8">
      <w:t xml:space="preserve"> - </w:t>
    </w:r>
    <w:proofErr w:type="spellStart"/>
    <w:r w:rsidR="00592BD8">
      <w:t>Aranthza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EA6D" w14:textId="77777777" w:rsidR="006E2412" w:rsidRDefault="006E2412" w:rsidP="0051142B">
      <w:r>
        <w:separator/>
      </w:r>
    </w:p>
  </w:footnote>
  <w:footnote w:type="continuationSeparator" w:id="0">
    <w:p w14:paraId="0A4EA688" w14:textId="77777777" w:rsidR="006E2412" w:rsidRDefault="006E2412" w:rsidP="0051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CC"/>
    <w:rsid w:val="00015D79"/>
    <w:rsid w:val="00024BBF"/>
    <w:rsid w:val="0003593B"/>
    <w:rsid w:val="00045164"/>
    <w:rsid w:val="00045343"/>
    <w:rsid w:val="00070F5E"/>
    <w:rsid w:val="000714FA"/>
    <w:rsid w:val="000720C3"/>
    <w:rsid w:val="00085E80"/>
    <w:rsid w:val="00097CDE"/>
    <w:rsid w:val="000A43F5"/>
    <w:rsid w:val="000B521F"/>
    <w:rsid w:val="000D4427"/>
    <w:rsid w:val="000E34A1"/>
    <w:rsid w:val="000F6161"/>
    <w:rsid w:val="00127A1C"/>
    <w:rsid w:val="00160F5A"/>
    <w:rsid w:val="00163639"/>
    <w:rsid w:val="0018125D"/>
    <w:rsid w:val="00183C30"/>
    <w:rsid w:val="001C5C86"/>
    <w:rsid w:val="001E55A4"/>
    <w:rsid w:val="001F1826"/>
    <w:rsid w:val="00224A75"/>
    <w:rsid w:val="00244BCA"/>
    <w:rsid w:val="0024544E"/>
    <w:rsid w:val="0025261F"/>
    <w:rsid w:val="00255C59"/>
    <w:rsid w:val="00274ADE"/>
    <w:rsid w:val="0028191F"/>
    <w:rsid w:val="00292F01"/>
    <w:rsid w:val="00293690"/>
    <w:rsid w:val="00297CEB"/>
    <w:rsid w:val="002A377D"/>
    <w:rsid w:val="002B394F"/>
    <w:rsid w:val="002B5D69"/>
    <w:rsid w:val="0032057F"/>
    <w:rsid w:val="00350253"/>
    <w:rsid w:val="003624AA"/>
    <w:rsid w:val="00382399"/>
    <w:rsid w:val="003B4DCD"/>
    <w:rsid w:val="003B6AA0"/>
    <w:rsid w:val="003E0BE5"/>
    <w:rsid w:val="003E77EF"/>
    <w:rsid w:val="004112ED"/>
    <w:rsid w:val="004455FD"/>
    <w:rsid w:val="004770DD"/>
    <w:rsid w:val="00477D8C"/>
    <w:rsid w:val="004847FF"/>
    <w:rsid w:val="004B47C8"/>
    <w:rsid w:val="004C60D0"/>
    <w:rsid w:val="004C769A"/>
    <w:rsid w:val="004F1AAB"/>
    <w:rsid w:val="004F7BD2"/>
    <w:rsid w:val="005006A6"/>
    <w:rsid w:val="00502253"/>
    <w:rsid w:val="00510D9A"/>
    <w:rsid w:val="0051142B"/>
    <w:rsid w:val="00512FDC"/>
    <w:rsid w:val="00576690"/>
    <w:rsid w:val="00591BEC"/>
    <w:rsid w:val="00592BD8"/>
    <w:rsid w:val="00592D01"/>
    <w:rsid w:val="0059629D"/>
    <w:rsid w:val="005A044B"/>
    <w:rsid w:val="005A5636"/>
    <w:rsid w:val="005C4800"/>
    <w:rsid w:val="005C5622"/>
    <w:rsid w:val="005D639C"/>
    <w:rsid w:val="005D7C02"/>
    <w:rsid w:val="005D7E36"/>
    <w:rsid w:val="005E13BB"/>
    <w:rsid w:val="005F37EF"/>
    <w:rsid w:val="00611613"/>
    <w:rsid w:val="00616E66"/>
    <w:rsid w:val="00626B8A"/>
    <w:rsid w:val="00627A9B"/>
    <w:rsid w:val="006468E6"/>
    <w:rsid w:val="0065261A"/>
    <w:rsid w:val="00681CB2"/>
    <w:rsid w:val="006B0970"/>
    <w:rsid w:val="006C4C2D"/>
    <w:rsid w:val="006D0C04"/>
    <w:rsid w:val="006D1770"/>
    <w:rsid w:val="006E22E9"/>
    <w:rsid w:val="006E2412"/>
    <w:rsid w:val="006F0B20"/>
    <w:rsid w:val="006F1281"/>
    <w:rsid w:val="0070193D"/>
    <w:rsid w:val="00702DB5"/>
    <w:rsid w:val="007116A6"/>
    <w:rsid w:val="00765301"/>
    <w:rsid w:val="00770E96"/>
    <w:rsid w:val="0078575A"/>
    <w:rsid w:val="007A3EC0"/>
    <w:rsid w:val="007A56A4"/>
    <w:rsid w:val="007C1AEE"/>
    <w:rsid w:val="007F6C7E"/>
    <w:rsid w:val="0081018E"/>
    <w:rsid w:val="00815CA6"/>
    <w:rsid w:val="00853DDF"/>
    <w:rsid w:val="00864DDD"/>
    <w:rsid w:val="00884EBE"/>
    <w:rsid w:val="00893E67"/>
    <w:rsid w:val="008A4BA7"/>
    <w:rsid w:val="008B395A"/>
    <w:rsid w:val="008E27A5"/>
    <w:rsid w:val="00905706"/>
    <w:rsid w:val="00923399"/>
    <w:rsid w:val="00945AA4"/>
    <w:rsid w:val="009607B1"/>
    <w:rsid w:val="0097032C"/>
    <w:rsid w:val="00975526"/>
    <w:rsid w:val="00980AE3"/>
    <w:rsid w:val="00985849"/>
    <w:rsid w:val="009970C5"/>
    <w:rsid w:val="00997817"/>
    <w:rsid w:val="009B5CE8"/>
    <w:rsid w:val="00A0436C"/>
    <w:rsid w:val="00A35786"/>
    <w:rsid w:val="00A4096B"/>
    <w:rsid w:val="00A47E72"/>
    <w:rsid w:val="00A5066D"/>
    <w:rsid w:val="00A750CE"/>
    <w:rsid w:val="00A80E41"/>
    <w:rsid w:val="00A83059"/>
    <w:rsid w:val="00AD3887"/>
    <w:rsid w:val="00AE4417"/>
    <w:rsid w:val="00AE517A"/>
    <w:rsid w:val="00AF1D17"/>
    <w:rsid w:val="00AF64F4"/>
    <w:rsid w:val="00AF78CC"/>
    <w:rsid w:val="00B05C04"/>
    <w:rsid w:val="00B13973"/>
    <w:rsid w:val="00B167A3"/>
    <w:rsid w:val="00B4685B"/>
    <w:rsid w:val="00B66606"/>
    <w:rsid w:val="00B714B8"/>
    <w:rsid w:val="00B807CA"/>
    <w:rsid w:val="00B91B3B"/>
    <w:rsid w:val="00BA41D3"/>
    <w:rsid w:val="00BD702A"/>
    <w:rsid w:val="00BE23A3"/>
    <w:rsid w:val="00BE2D10"/>
    <w:rsid w:val="00BE3FBD"/>
    <w:rsid w:val="00C009BE"/>
    <w:rsid w:val="00C3403E"/>
    <w:rsid w:val="00C374F7"/>
    <w:rsid w:val="00C523E4"/>
    <w:rsid w:val="00C67C24"/>
    <w:rsid w:val="00C86482"/>
    <w:rsid w:val="00CA47E8"/>
    <w:rsid w:val="00CB6F66"/>
    <w:rsid w:val="00CE1457"/>
    <w:rsid w:val="00CF06E0"/>
    <w:rsid w:val="00CF2192"/>
    <w:rsid w:val="00D101B6"/>
    <w:rsid w:val="00D10893"/>
    <w:rsid w:val="00D23ED8"/>
    <w:rsid w:val="00D43F78"/>
    <w:rsid w:val="00D64EFA"/>
    <w:rsid w:val="00D95715"/>
    <w:rsid w:val="00DA1894"/>
    <w:rsid w:val="00DB418B"/>
    <w:rsid w:val="00DB5A49"/>
    <w:rsid w:val="00DD2324"/>
    <w:rsid w:val="00DF7E4B"/>
    <w:rsid w:val="00E01C27"/>
    <w:rsid w:val="00E13033"/>
    <w:rsid w:val="00E14F28"/>
    <w:rsid w:val="00E4158D"/>
    <w:rsid w:val="00EC1BB6"/>
    <w:rsid w:val="00F03A88"/>
    <w:rsid w:val="00F12F04"/>
    <w:rsid w:val="00F20A13"/>
    <w:rsid w:val="00F22E52"/>
    <w:rsid w:val="00F5423C"/>
    <w:rsid w:val="00F64AB6"/>
    <w:rsid w:val="00F721B4"/>
    <w:rsid w:val="00F90E52"/>
    <w:rsid w:val="00FA62CF"/>
    <w:rsid w:val="00FB6DC2"/>
    <w:rsid w:val="00FC3BC8"/>
    <w:rsid w:val="00FC61D9"/>
    <w:rsid w:val="00FE78AF"/>
    <w:rsid w:val="00FF57AD"/>
    <w:rsid w:val="00FF5A9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83D61"/>
  <w15:chartTrackingRefBased/>
  <w15:docId w15:val="{F1C6A9EB-3282-A14C-8D80-7E350D3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42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1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2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/Users/Aranthza/Desktop/ILADIR/Visitas%20oficiales%20recibidas%20de%20alto%20rango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>
                <a:solidFill>
                  <a:schemeClr val="bg1"/>
                </a:solidFill>
              </a:rPr>
              <a:t>Porcentaje de visitas oficiales recibidas por país</a:t>
            </a:r>
          </a:p>
          <a:p>
            <a:pPr>
              <a:defRPr/>
            </a:pPr>
            <a:r>
              <a:rPr lang="es-PE">
                <a:solidFill>
                  <a:schemeClr val="bg1"/>
                </a:solidFill>
              </a:rPr>
              <a:t>2019</a:t>
            </a:r>
          </a:p>
        </c:rich>
      </c:tx>
      <c:layout>
        <c:manualLayout>
          <c:xMode val="edge"/>
          <c:yMode val="edge"/>
          <c:x val="0.26362731243762799"/>
          <c:y val="6.291027246988591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039059849825994E-3"/>
          <c:y val="9.667081088548142E-2"/>
          <c:w val="0.99199609401501743"/>
          <c:h val="0.90332918911451854"/>
        </c:manualLayout>
      </c:layout>
      <c:pie3DChart>
        <c:varyColors val="1"/>
        <c:ser>
          <c:idx val="0"/>
          <c:order val="0"/>
          <c:tx>
            <c:strRef>
              <c:f>Hoja1!$C$1</c:f>
              <c:strCache>
                <c:ptCount val="1"/>
                <c:pt idx="0">
                  <c:v>Total de visitas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185-484A-B29E-B7B5788E89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185-484A-B29E-B7B5788E89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185-484A-B29E-B7B5788E89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185-484A-B29E-B7B5788E89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6185-484A-B29E-B7B5788E89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6185-484A-B29E-B7B5788E899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6185-484A-B29E-B7B5788E899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6185-484A-B29E-B7B5788E899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6185-484A-B29E-B7B5788E899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6185-484A-B29E-B7B5788E899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5-6185-484A-B29E-B7B5788E899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7-6185-484A-B29E-B7B5788E899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9-6185-484A-B29E-B7B5788E899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B-6185-484A-B29E-B7B5788E899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D-6185-484A-B29E-B7B5788E899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F-6185-484A-B29E-B7B5788E899E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1-6185-484A-B29E-B7B5788E899E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3-6185-484A-B29E-B7B5788E899E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5-6185-484A-B29E-B7B5788E899E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7-6185-484A-B29E-B7B5788E899E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9-6185-484A-B29E-B7B5788E899E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B-6185-484A-B29E-B7B5788E899E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D-6185-484A-B29E-B7B5788E899E}"/>
              </c:ext>
            </c:extLst>
          </c:dPt>
          <c:dLbls>
            <c:dLbl>
              <c:idx val="6"/>
              <c:layout>
                <c:manualLayout>
                  <c:x val="-6.3651167141541912E-2"/>
                  <c:y val="-0.12365989401188611"/>
                </c:manualLayout>
              </c:layout>
              <c:tx>
                <c:rich>
                  <a:bodyPr/>
                  <a:lstStyle/>
                  <a:p>
                    <a:fld id="{84DABE02-869D-1D42-8F61-3EF22DA378F5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185-484A-B29E-B7B5788E899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1A86947-8A1D-CB44-BFEE-C8DE12A6C582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185-484A-B29E-B7B5788E899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BDBCE59-3A12-3C4C-B442-F0900B2F5B0F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185-484A-B29E-B7B5788E899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41B357D-8D01-A94D-89D1-09242ED14274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185-484A-B29E-B7B5788E899E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8931926-0F7D-8F42-BCB7-66AD21384B84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6185-484A-B29E-B7B5788E899E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5A87A20A-E0D0-9349-A2F5-6F502C2FD84F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6185-484A-B29E-B7B5788E899E}"/>
                </c:ext>
              </c:extLst>
            </c:dLbl>
            <c:dLbl>
              <c:idx val="12"/>
              <c:layout>
                <c:manualLayout>
                  <c:x val="4.8823306317921228E-2"/>
                  <c:y val="-0.13687330773026668"/>
                </c:manualLayout>
              </c:layout>
              <c:tx>
                <c:rich>
                  <a:bodyPr/>
                  <a:lstStyle/>
                  <a:p>
                    <a:fld id="{815B6859-67C1-D14C-8944-A901DFAC3576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6185-484A-B29E-B7B5788E899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DE099DDE-386B-8F4E-9923-8A30046717DF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6185-484A-B29E-B7B5788E899E}"/>
                </c:ext>
              </c:extLst>
            </c:dLbl>
            <c:dLbl>
              <c:idx val="14"/>
              <c:layout>
                <c:manualLayout>
                  <c:x val="7.6446626427098208E-2"/>
                  <c:y val="-0.12766684545903151"/>
                </c:manualLayout>
              </c:layout>
              <c:tx>
                <c:rich>
                  <a:bodyPr/>
                  <a:lstStyle/>
                  <a:p>
                    <a:fld id="{A5511954-C474-8444-8536-1702B0938320}" type="CATEGORYNAME">
                      <a:rPr lang="en-US"/>
                      <a:pPr/>
                      <a:t>[NOMBRE DE CATEGORÍA]</a:t>
                    </a:fld>
                    <a:endParaRPr lang="es-ES_tradn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6185-484A-B29E-B7B5788E899E}"/>
                </c:ext>
              </c:extLst>
            </c:dLbl>
            <c:dLbl>
              <c:idx val="15"/>
              <c:layout>
                <c:manualLayout>
                  <c:x val="0.11788132398316334"/>
                  <c:y val="-0.121084082473342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185-484A-B29E-B7B5788E899E}"/>
                </c:ext>
              </c:extLst>
            </c:dLbl>
            <c:dLbl>
              <c:idx val="20"/>
              <c:layout>
                <c:manualLayout>
                  <c:x val="4.2930926807431345E-2"/>
                  <c:y val="6.30117168368307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185-484A-B29E-B7B5788E899E}"/>
                </c:ext>
              </c:extLst>
            </c:dLbl>
            <c:dLbl>
              <c:idx val="21"/>
              <c:layout>
                <c:manualLayout>
                  <c:x val="4.5968734724125257E-2"/>
                  <c:y val="9.24314843419691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P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4540098681788E-2"/>
                      <c:h val="8.4040404040404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B-6185-484A-B29E-B7B5788E89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Hoja1!$B$2:$B$24</c:f>
              <c:strCache>
                <c:ptCount val="23"/>
                <c:pt idx="0">
                  <c:v>Bolivia</c:v>
                </c:pt>
                <c:pt idx="1">
                  <c:v>Brasil</c:v>
                </c:pt>
                <c:pt idx="2">
                  <c:v>Chile</c:v>
                </c:pt>
                <c:pt idx="3">
                  <c:v>Colombia</c:v>
                </c:pt>
                <c:pt idx="4">
                  <c:v>Ecuador</c:v>
                </c:pt>
                <c:pt idx="5">
                  <c:v>Paraguay</c:v>
                </c:pt>
                <c:pt idx="6">
                  <c:v>Venezuela</c:v>
                </c:pt>
                <c:pt idx="7">
                  <c:v>Canadá</c:v>
                </c:pt>
                <c:pt idx="8">
                  <c:v>Estados Unidos</c:v>
                </c:pt>
                <c:pt idx="9">
                  <c:v>EFTA</c:v>
                </c:pt>
                <c:pt idx="10">
                  <c:v>Italia</c:v>
                </c:pt>
                <c:pt idx="11">
                  <c:v>Orden de Malta</c:v>
                </c:pt>
                <c:pt idx="12">
                  <c:v>República Checa</c:v>
                </c:pt>
                <c:pt idx="13">
                  <c:v>Serbia</c:v>
                </c:pt>
                <c:pt idx="14">
                  <c:v>Unión Europea</c:v>
                </c:pt>
                <c:pt idx="15">
                  <c:v>Emiratos Árabes Unidos</c:v>
                </c:pt>
                <c:pt idx="16">
                  <c:v>China</c:v>
                </c:pt>
                <c:pt idx="17">
                  <c:v>Corea del Sur</c:v>
                </c:pt>
                <c:pt idx="18">
                  <c:v>India</c:v>
                </c:pt>
                <c:pt idx="19">
                  <c:v>Japón</c:v>
                </c:pt>
                <c:pt idx="20">
                  <c:v>Tailandia</c:v>
                </c:pt>
                <c:pt idx="21">
                  <c:v>Nueva Zelanda</c:v>
                </c:pt>
                <c:pt idx="22">
                  <c:v>UNICEF</c:v>
                </c:pt>
              </c:strCache>
            </c:strRef>
          </c:cat>
          <c:val>
            <c:numRef>
              <c:f>Hoja1!$C$2:$C$24</c:f>
              <c:numCache>
                <c:formatCode>General</c:formatCode>
                <c:ptCount val="2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6185-484A-B29E-B7B5788E899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  <c:userShapes r:id="rId4"/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Hoja1!$A$2:$B$24</cx:f>
        <cx:lvl ptCount="23">
          <cx:pt idx="0">Bolivia</cx:pt>
          <cx:pt idx="1">Brasil</cx:pt>
          <cx:pt idx="2">Chile</cx:pt>
          <cx:pt idx="3">Colombia</cx:pt>
          <cx:pt idx="4">Ecuador</cx:pt>
          <cx:pt idx="5">Paraguay</cx:pt>
          <cx:pt idx="6">Venezuela</cx:pt>
          <cx:pt idx="7">Canadá</cx:pt>
          <cx:pt idx="8">Estados Unidos</cx:pt>
          <cx:pt idx="9">Italia</cx:pt>
          <cx:pt idx="10">Orden de Malta</cx:pt>
          <cx:pt idx="11">República Checa</cx:pt>
          <cx:pt idx="12">Serbia</cx:pt>
          <cx:pt idx="13">EFTA</cx:pt>
          <cx:pt idx="14">Unión Europea</cx:pt>
          <cx:pt idx="15">Emiratos Árabes Unidos</cx:pt>
          <cx:pt idx="16">China</cx:pt>
          <cx:pt idx="17">Corea del Sur</cx:pt>
          <cx:pt idx="18">India</cx:pt>
          <cx:pt idx="19">Japón</cx:pt>
          <cx:pt idx="20">Tailandia</cx:pt>
          <cx:pt idx="21">Nueva Zelanda</cx:pt>
          <cx:pt idx="22">UNICEF</cx:pt>
        </cx:lvl>
        <cx:lvl ptCount="23">
          <cx:pt idx="0">América Latina y el Caribe</cx:pt>
          <cx:pt idx="7">Norteamérica</cx:pt>
          <cx:pt idx="9">Europa</cx:pt>
          <cx:pt idx="15">Medio Oriente</cx:pt>
          <cx:pt idx="16">Asia</cx:pt>
          <cx:pt idx="21">Oceanía</cx:pt>
          <cx:pt idx="22">Otros</cx:pt>
        </cx:lvl>
      </cx:strDim>
      <cx:numDim type="size">
        <cx:f>Hoja1!$C$2:$C$24</cx:f>
        <cx:lvl ptCount="23" formatCode="General">
          <cx:pt idx="0">2</cx:pt>
          <cx:pt idx="1">2</cx:pt>
          <cx:pt idx="2">2</cx:pt>
          <cx:pt idx="3">2</cx:pt>
          <cx:pt idx="4">1</cx:pt>
          <cx:pt idx="5">1</cx:pt>
          <cx:pt idx="6">1</cx:pt>
          <cx:pt idx="7">1</cx:pt>
          <cx:pt idx="8">1</cx:pt>
          <cx:pt idx="9">1</cx:pt>
          <cx:pt idx="10">1</cx:pt>
          <cx:pt idx="11">1</cx:pt>
          <cx:pt idx="12">1</cx:pt>
          <cx:pt idx="13">1</cx:pt>
          <cx:pt idx="14">2</cx:pt>
          <cx:pt idx="15">1</cx:pt>
          <cx:pt idx="16">2</cx:pt>
          <cx:pt idx="17">1</cx:pt>
          <cx:pt idx="18">1</cx:pt>
          <cx:pt idx="19">2</cx:pt>
          <cx:pt idx="20">1</cx:pt>
          <cx:pt idx="21">1</cx:pt>
          <cx:pt idx="22">1</cx:pt>
        </cx:lvl>
      </cx:numDim>
    </cx:data>
    <cx:data id="1">
      <cx:strDim type="cat">
        <cx:f>Hoja1!$A$2:$B$24</cx:f>
        <cx:lvl ptCount="23">
          <cx:pt idx="0">Bolivia</cx:pt>
          <cx:pt idx="1">Brasil</cx:pt>
          <cx:pt idx="2">Chile</cx:pt>
          <cx:pt idx="3">Colombia</cx:pt>
          <cx:pt idx="4">Ecuador</cx:pt>
          <cx:pt idx="5">Paraguay</cx:pt>
          <cx:pt idx="6">Venezuela</cx:pt>
          <cx:pt idx="7">Canadá</cx:pt>
          <cx:pt idx="8">Estados Unidos</cx:pt>
          <cx:pt idx="9">Italia</cx:pt>
          <cx:pt idx="10">Orden de Malta</cx:pt>
          <cx:pt idx="11">República Checa</cx:pt>
          <cx:pt idx="12">Serbia</cx:pt>
          <cx:pt idx="13">EFTA</cx:pt>
          <cx:pt idx="14">Unión Europea</cx:pt>
          <cx:pt idx="15">Emiratos Árabes Unidos</cx:pt>
          <cx:pt idx="16">China</cx:pt>
          <cx:pt idx="17">Corea del Sur</cx:pt>
          <cx:pt idx="18">India</cx:pt>
          <cx:pt idx="19">Japón</cx:pt>
          <cx:pt idx="20">Tailandia</cx:pt>
          <cx:pt idx="21">Nueva Zelanda</cx:pt>
          <cx:pt idx="22">UNICEF</cx:pt>
        </cx:lvl>
        <cx:lvl ptCount="23">
          <cx:pt idx="0">América Latina y el Caribe</cx:pt>
          <cx:pt idx="7">Norteamérica</cx:pt>
          <cx:pt idx="9">Europa</cx:pt>
          <cx:pt idx="15">Medio Oriente</cx:pt>
          <cx:pt idx="16">Asia</cx:pt>
          <cx:pt idx="21">Oceanía</cx:pt>
          <cx:pt idx="22">Otros</cx:pt>
        </cx:lvl>
      </cx:strDim>
      <cx:numDim type="size">
        <cx:f>Hoja1!$D$2:$D$24</cx:f>
        <cx:lvl ptCount="23" formatCode="General">
          <cx:pt idx="0">11</cx:pt>
          <cx:pt idx="7">2</cx:pt>
          <cx:pt idx="15">1</cx:pt>
          <cx:pt idx="16">7</cx:pt>
          <cx:pt idx="21">1</cx:pt>
          <cx:pt idx="22">1</cx:pt>
        </cx:lvl>
      </cx:numDim>
    </cx:data>
  </cx:chartData>
  <cx:chart>
    <cx:title pos="t" align="ctr" overlay="0">
      <cx:tx>
        <cx:txData>
          <cx:v>Visitas oficiales recibidas de alto rango por región y país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600" b="1" i="0" u="none" strike="noStrike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</a:rPr>
            <a:t>Visitas oficiales recibidas de alto rango por región y país</a:t>
          </a:r>
        </a:p>
      </cx:txPr>
    </cx:title>
    <cx:plotArea>
      <cx:plotAreaRegion>
        <cx:series layoutId="sunburst" uniqueId="{921BB21D-9430-CA40-880F-1B1429FA5E97}" formatIdx="0">
          <cx:tx>
            <cx:txData>
              <cx:f>Hoja1!$C$1</cx:f>
              <cx:v>Total por país</cx:v>
            </cx:txData>
          </cx:tx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b="1"/>
                </a:pPr>
                <a:endParaRPr lang="es-ES" sz="900" b="1" i="0" u="none" strike="noStrike" baseline="0">
                  <a:solidFill>
                    <a:sysClr val="window" lastClr="FFFFFF"/>
                  </a:solidFill>
                  <a:latin typeface="Calibri" panose="020F0502020204030204"/>
                </a:endParaRPr>
              </a:p>
            </cx:txPr>
            <cx:visibility seriesName="0" categoryName="1" value="1"/>
          </cx:dataLabels>
          <cx:dataId val="0"/>
        </cx:series>
        <cx:series layoutId="sunburst" hidden="1" uniqueId="{C34D23E0-9AF6-5244-9FF9-193FCD3B7688}" formatIdx="1">
          <cx:tx>
            <cx:txData>
              <cx:f>Hoja1!$D$1</cx:f>
              <cx:v>Total por región</cx:v>
            </cx:txData>
          </cx:tx>
          <cx:dataLabels>
            <cx:visibility seriesName="0" categoryName="1" value="1"/>
          </cx:dataLabels>
          <cx:dataId val="1"/>
        </cx:series>
      </cx:plotAreaRegion>
    </cx:plotArea>
    <cx:legend pos="t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7">
  <cs:axisTitle>
    <cs:lnRef idx="0"/>
    <cs:fillRef idx="0"/>
    <cs:effectRef idx="0"/>
    <cs:fontRef idx="minor">
      <a:schemeClr val="lt1">
        <a:lumMod val="95000"/>
      </a:schemeClr>
    </cs:fontRef>
    <cs:defRPr sz="900"/>
  </cs:axisTitle>
  <cs:category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/>
  </cs:chartArea>
  <cs:dataLabel>
    <cs:lnRef idx="0"/>
    <cs:fillRef idx="0"/>
    <cs:effectRef idx="0"/>
    <cs:fontRef idx="minor">
      <a:schemeClr val="lt1">
        <a:lumMod val="9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9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95000"/>
      </a:schemeClr>
    </cs:fontRef>
    <cs:defRPr sz="9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spc="10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9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95000"/>
      </a:schemeClr>
    </cs:fontRef>
    <cs:defRPr sz="9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0.35938</cdr:x>
      <cdr:y>0.86504</cdr:y>
    </cdr:from>
    <cdr:to>
      <cdr:x>0.40265</cdr:x>
      <cdr:y>0.90884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3179135" y="5039832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0.44084</cdr:x>
      <cdr:y>0.89201</cdr:y>
    </cdr:from>
    <cdr:to>
      <cdr:x>0.48411</cdr:x>
      <cdr:y>0.93581</cdr:y>
    </cdr:to>
    <cdr:sp macro="" textlink="">
      <cdr:nvSpPr>
        <cdr:cNvPr id="3" name="Cuadro de texto 1"/>
        <cdr:cNvSpPr txBox="1"/>
      </cdr:nvSpPr>
      <cdr:spPr>
        <a:xfrm xmlns:a="http://schemas.openxmlformats.org/drawingml/2006/main">
          <a:off x="3899786" y="5196957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0.52378</cdr:x>
      <cdr:y>0.89201</cdr:y>
    </cdr:from>
    <cdr:to>
      <cdr:x>0.56705</cdr:x>
      <cdr:y>0.93581</cdr:y>
    </cdr:to>
    <cdr:sp macro="" textlink="">
      <cdr:nvSpPr>
        <cdr:cNvPr id="4" name="Cuadro de texto 1"/>
        <cdr:cNvSpPr txBox="1"/>
      </cdr:nvSpPr>
      <cdr:spPr>
        <a:xfrm xmlns:a="http://schemas.openxmlformats.org/drawingml/2006/main">
          <a:off x="4633433" y="5196959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0.60791</cdr:x>
      <cdr:y>0.86828</cdr:y>
    </cdr:from>
    <cdr:to>
      <cdr:x>0.65118</cdr:x>
      <cdr:y>0.91208</cdr:y>
    </cdr:to>
    <cdr:sp macro="" textlink="">
      <cdr:nvSpPr>
        <cdr:cNvPr id="5" name="Cuadro de texto 1"/>
        <cdr:cNvSpPr txBox="1"/>
      </cdr:nvSpPr>
      <cdr:spPr>
        <a:xfrm xmlns:a="http://schemas.openxmlformats.org/drawingml/2006/main">
          <a:off x="5377712" y="5058734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0.68217</cdr:x>
      <cdr:y>0.82043</cdr:y>
    </cdr:from>
    <cdr:to>
      <cdr:x>0.72544</cdr:x>
      <cdr:y>0.86423</cdr:y>
    </cdr:to>
    <cdr:sp macro="" textlink="">
      <cdr:nvSpPr>
        <cdr:cNvPr id="6" name="Cuadro de texto 1"/>
        <cdr:cNvSpPr txBox="1"/>
      </cdr:nvSpPr>
      <cdr:spPr>
        <a:xfrm xmlns:a="http://schemas.openxmlformats.org/drawingml/2006/main">
          <a:off x="6034568" y="4779924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0.74467</cdr:x>
      <cdr:y>0.75473</cdr:y>
    </cdr:from>
    <cdr:to>
      <cdr:x>0.78794</cdr:x>
      <cdr:y>0.79853</cdr:y>
    </cdr:to>
    <cdr:sp macro="" textlink="">
      <cdr:nvSpPr>
        <cdr:cNvPr id="8" name="Cuadro de texto 1"/>
        <cdr:cNvSpPr txBox="1"/>
      </cdr:nvSpPr>
      <cdr:spPr>
        <a:xfrm xmlns:a="http://schemas.openxmlformats.org/drawingml/2006/main">
          <a:off x="6587461" y="4397152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0.78914</cdr:x>
      <cdr:y>0.68173</cdr:y>
    </cdr:from>
    <cdr:to>
      <cdr:x>0.83241</cdr:x>
      <cdr:y>0.72553</cdr:y>
    </cdr:to>
    <cdr:sp macro="" textlink="">
      <cdr:nvSpPr>
        <cdr:cNvPr id="9" name="Cuadro de texto 1"/>
        <cdr:cNvSpPr txBox="1"/>
      </cdr:nvSpPr>
      <cdr:spPr>
        <a:xfrm xmlns:a="http://schemas.openxmlformats.org/drawingml/2006/main">
          <a:off x="6980866" y="3971850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0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0.27978</cdr:x>
      <cdr:y>0.81719</cdr:y>
    </cdr:from>
    <cdr:to>
      <cdr:x>0.32305</cdr:x>
      <cdr:y>0.86098</cdr:y>
    </cdr:to>
    <cdr:sp macro="" textlink="">
      <cdr:nvSpPr>
        <cdr:cNvPr id="10" name="Cuadro de texto 1"/>
        <cdr:cNvSpPr txBox="1"/>
      </cdr:nvSpPr>
      <cdr:spPr>
        <a:xfrm xmlns:a="http://schemas.openxmlformats.org/drawingml/2006/main">
          <a:off x="2475024" y="4761022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3%</a:t>
          </a:r>
        </a:p>
      </cdr:txBody>
    </cdr:sp>
  </cdr:relSizeAnchor>
  <cdr:relSizeAnchor xmlns:cdr="http://schemas.openxmlformats.org/drawingml/2006/chartDrawing">
    <cdr:from>
      <cdr:x>0.20526</cdr:x>
      <cdr:y>0.72411</cdr:y>
    </cdr:from>
    <cdr:to>
      <cdr:x>0.24853</cdr:x>
      <cdr:y>0.76791</cdr:y>
    </cdr:to>
    <cdr:sp macro="" textlink="">
      <cdr:nvSpPr>
        <cdr:cNvPr id="11" name="Cuadro de texto 1"/>
        <cdr:cNvSpPr txBox="1"/>
      </cdr:nvSpPr>
      <cdr:spPr>
        <a:xfrm xmlns:a="http://schemas.openxmlformats.org/drawingml/2006/main">
          <a:off x="1815805" y="4218762"/>
          <a:ext cx="382772" cy="255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_tradnl" sz="1100">
              <a:solidFill>
                <a:schemeClr val="bg1"/>
              </a:solidFill>
            </a:rPr>
            <a:t>7%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6B00A-5129-1B44-8D95-256731CB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ARANTHZA MILAGROS MARCHAN CANDIOTTI</dc:creator>
  <cp:keywords/>
  <dc:description/>
  <cp:lastModifiedBy>SOFFIA ARANTHZA MILAGROS MARCHAN CANDIOTTI</cp:lastModifiedBy>
  <cp:revision>22</cp:revision>
  <dcterms:created xsi:type="dcterms:W3CDTF">2020-12-04T22:21:00Z</dcterms:created>
  <dcterms:modified xsi:type="dcterms:W3CDTF">2021-08-12T05:24:00Z</dcterms:modified>
</cp:coreProperties>
</file>